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2839F" w14:textId="77777777" w:rsidR="004B2ED5" w:rsidRPr="00E77764" w:rsidRDefault="008942F0" w:rsidP="00527C5F">
      <w:pPr>
        <w:jc w:val="center"/>
        <w:rPr>
          <w:rFonts w:ascii="Merriweather" w:hAnsi="Merriweather" w:cs="Calibri Light"/>
          <w:b/>
          <w:sz w:val="16"/>
          <w:szCs w:val="16"/>
        </w:rPr>
      </w:pPr>
      <w:r w:rsidRPr="00E77764">
        <w:rPr>
          <w:rFonts w:ascii="Merriweather" w:hAnsi="Merriweather" w:cs="Calibri Light"/>
          <w:b/>
          <w:sz w:val="16"/>
          <w:szCs w:val="16"/>
        </w:rPr>
        <w:t>Izvedbeni plan nastave (</w:t>
      </w:r>
      <w:r w:rsidR="0010332B" w:rsidRPr="00E77764">
        <w:rPr>
          <w:rFonts w:ascii="Merriweather" w:hAnsi="Merriweather" w:cs="Calibri Light"/>
          <w:b/>
          <w:i/>
          <w:sz w:val="16"/>
          <w:szCs w:val="16"/>
        </w:rPr>
        <w:t>syllabus</w:t>
      </w:r>
      <w:r w:rsidR="00F82834" w:rsidRPr="00E77764">
        <w:rPr>
          <w:rStyle w:val="FootnoteReference"/>
          <w:rFonts w:ascii="Merriweather" w:hAnsi="Merriweather" w:cs="Calibri Light"/>
          <w:sz w:val="16"/>
          <w:szCs w:val="16"/>
        </w:rPr>
        <w:footnoteReference w:id="1"/>
      </w:r>
      <w:r w:rsidRPr="00E77764">
        <w:rPr>
          <w:rFonts w:ascii="Merriweather" w:hAnsi="Merriweather" w:cs="Calibri Light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E77764" w14:paraId="1F20DC85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C803877" w14:textId="77777777" w:rsidR="004B553E" w:rsidRPr="00E77764" w:rsidRDefault="004B553E" w:rsidP="0079745E">
            <w:pPr>
              <w:spacing w:before="20" w:after="20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E77764">
              <w:rPr>
                <w:rFonts w:ascii="Merriweather" w:hAnsi="Merriweather" w:cs="Calibri Light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02EE91" w14:textId="77777777" w:rsidR="004B553E" w:rsidRPr="00E77764" w:rsidRDefault="001D1F37" w:rsidP="0079745E">
            <w:pPr>
              <w:spacing w:before="20" w:after="20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E77764">
              <w:rPr>
                <w:rFonts w:ascii="Merriweather" w:hAnsi="Merriweather" w:cs="Calibri Light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1871980" w14:textId="77777777" w:rsidR="004B553E" w:rsidRPr="00E77764" w:rsidRDefault="004B553E" w:rsidP="0079745E">
            <w:pPr>
              <w:spacing w:before="20" w:after="20"/>
              <w:jc w:val="center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E77764">
              <w:rPr>
                <w:rFonts w:ascii="Merriweather" w:hAnsi="Merriweather" w:cs="Calibri Light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6EA21D6" w14:textId="0BFF0336" w:rsidR="004B553E" w:rsidRPr="00E77764" w:rsidRDefault="005972F4" w:rsidP="0079745E">
            <w:pPr>
              <w:spacing w:before="20" w:after="20"/>
              <w:jc w:val="center"/>
              <w:rPr>
                <w:rFonts w:ascii="Merriweather" w:hAnsi="Merriweather" w:cs="Calibri Light"/>
                <w:sz w:val="18"/>
                <w:szCs w:val="18"/>
              </w:rPr>
            </w:pPr>
            <w:r w:rsidRPr="00E77764">
              <w:rPr>
                <w:rFonts w:ascii="Merriweather" w:hAnsi="Merriweather" w:cs="Calibri Light"/>
                <w:sz w:val="18"/>
                <w:szCs w:val="18"/>
              </w:rPr>
              <w:t>202</w:t>
            </w:r>
            <w:r w:rsidR="00E77764" w:rsidRPr="00E77764">
              <w:rPr>
                <w:rFonts w:ascii="Merriweather" w:hAnsi="Merriweather" w:cs="Calibri Light"/>
                <w:sz w:val="18"/>
                <w:szCs w:val="18"/>
              </w:rPr>
              <w:t>4</w:t>
            </w:r>
            <w:r w:rsidR="00FF1020" w:rsidRPr="00E77764">
              <w:rPr>
                <w:rFonts w:ascii="Merriweather" w:hAnsi="Merriweather" w:cs="Calibri Light"/>
                <w:sz w:val="18"/>
                <w:szCs w:val="18"/>
              </w:rPr>
              <w:t>./</w:t>
            </w:r>
            <w:r w:rsidRPr="00E77764">
              <w:rPr>
                <w:rFonts w:ascii="Merriweather" w:hAnsi="Merriweather" w:cs="Calibri Light"/>
                <w:sz w:val="18"/>
                <w:szCs w:val="18"/>
              </w:rPr>
              <w:t>202</w:t>
            </w:r>
            <w:r w:rsidR="00E77764" w:rsidRPr="00E77764">
              <w:rPr>
                <w:rFonts w:ascii="Merriweather" w:hAnsi="Merriweather" w:cs="Calibri Light"/>
                <w:sz w:val="18"/>
                <w:szCs w:val="18"/>
              </w:rPr>
              <w:t>5</w:t>
            </w:r>
            <w:r w:rsidR="00FF1020" w:rsidRPr="00E77764">
              <w:rPr>
                <w:rFonts w:ascii="Merriweather" w:hAnsi="Merriweather" w:cs="Calibri Light"/>
                <w:sz w:val="18"/>
                <w:szCs w:val="18"/>
              </w:rPr>
              <w:t>.</w:t>
            </w:r>
          </w:p>
        </w:tc>
      </w:tr>
      <w:tr w:rsidR="004B553E" w:rsidRPr="00E77764" w14:paraId="3B969F02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AB8A29F" w14:textId="77777777" w:rsidR="004B553E" w:rsidRPr="00E77764" w:rsidRDefault="004B553E" w:rsidP="0079745E">
            <w:pPr>
              <w:spacing w:before="20" w:after="20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E77764">
              <w:rPr>
                <w:rFonts w:ascii="Merriweather" w:hAnsi="Merriweather" w:cs="Calibri Light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8439278" w14:textId="77777777" w:rsidR="004B553E" w:rsidRPr="00E77764" w:rsidRDefault="001D1F37" w:rsidP="001D1F37">
            <w:pPr>
              <w:spacing w:before="20" w:after="20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E77764">
              <w:rPr>
                <w:rFonts w:ascii="Merriweather" w:hAnsi="Merriweather" w:cs="Calibri Light"/>
                <w:b/>
                <w:sz w:val="18"/>
                <w:szCs w:val="18"/>
              </w:rPr>
              <w:t>Uvod u metode istraživanja engleskog jezika I – prikupljanje jezičnih podataka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356BDDD" w14:textId="77777777" w:rsidR="004B553E" w:rsidRPr="00E77764" w:rsidRDefault="004B553E" w:rsidP="0079745E">
            <w:pPr>
              <w:spacing w:before="20" w:after="20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E77764">
              <w:rPr>
                <w:rFonts w:ascii="Merriweather" w:hAnsi="Merriweather" w:cs="Calibri Light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1BEB0EE" w14:textId="77777777" w:rsidR="004B553E" w:rsidRPr="00E77764" w:rsidRDefault="001D1F37" w:rsidP="0079745E">
            <w:pPr>
              <w:spacing w:before="20" w:after="20"/>
              <w:jc w:val="center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E77764">
              <w:rPr>
                <w:rFonts w:ascii="Merriweather" w:hAnsi="Merriweather" w:cs="Calibri Light"/>
                <w:b/>
                <w:sz w:val="18"/>
                <w:szCs w:val="18"/>
              </w:rPr>
              <w:t>4</w:t>
            </w:r>
          </w:p>
        </w:tc>
      </w:tr>
      <w:tr w:rsidR="004B553E" w:rsidRPr="00E77764" w14:paraId="48A1A692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C5EF602" w14:textId="77777777" w:rsidR="004B553E" w:rsidRPr="00E77764" w:rsidRDefault="004B553E" w:rsidP="0079745E">
            <w:pPr>
              <w:spacing w:before="20" w:after="20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E77764">
              <w:rPr>
                <w:rFonts w:ascii="Merriweather" w:hAnsi="Merriweather" w:cs="Calibri Light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02105BE2" w14:textId="77777777" w:rsidR="00E35764" w:rsidRPr="00E77764" w:rsidRDefault="00581FB9" w:rsidP="0079745E">
            <w:pPr>
              <w:spacing w:before="20" w:after="20"/>
              <w:rPr>
                <w:rFonts w:ascii="Merriweather" w:hAnsi="Merriweather" w:cs="Calibri Light"/>
                <w:b/>
                <w:sz w:val="18"/>
                <w:szCs w:val="18"/>
              </w:rPr>
            </w:pPr>
            <w:r w:rsidRPr="00E77764">
              <w:rPr>
                <w:rFonts w:ascii="Merriweather" w:hAnsi="Merriweather" w:cs="Calibri Light"/>
                <w:b/>
                <w:sz w:val="18"/>
                <w:szCs w:val="18"/>
              </w:rPr>
              <w:t>Anglistika</w:t>
            </w:r>
          </w:p>
        </w:tc>
      </w:tr>
      <w:tr w:rsidR="004B553E" w:rsidRPr="00E77764" w14:paraId="5C56495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C801517" w14:textId="77777777" w:rsidR="004B553E" w:rsidRPr="00E77764" w:rsidRDefault="004B553E" w:rsidP="00D5334D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8B61355" w14:textId="77777777" w:rsidR="004B553E" w:rsidRPr="00E7776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1F3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581FB9" w:rsidRPr="00E77764">
              <w:rPr>
                <w:rFonts w:ascii="Merriweather" w:hAnsi="Merriweather" w:cs="Calibri Light"/>
                <w:sz w:val="16"/>
                <w:szCs w:val="16"/>
              </w:rPr>
              <w:t>prijediplomski</w:t>
            </w:r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gridSpan w:val="8"/>
          </w:tcPr>
          <w:p w14:paraId="5C108702" w14:textId="77777777" w:rsidR="004B553E" w:rsidRPr="00E7776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1183D7C" w14:textId="77777777" w:rsidR="004B553E" w:rsidRPr="00E7776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9FB64CA" w14:textId="77777777" w:rsidR="004B553E" w:rsidRPr="00E77764" w:rsidRDefault="00000000" w:rsidP="0079745E">
            <w:pPr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poslijediplomski</w:t>
            </w:r>
          </w:p>
        </w:tc>
      </w:tr>
      <w:tr w:rsidR="004B553E" w:rsidRPr="00E77764" w14:paraId="728DF82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548572C" w14:textId="77777777" w:rsidR="004B553E" w:rsidRPr="00E77764" w:rsidRDefault="004B553E" w:rsidP="00D5334D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3451CEE" w14:textId="77777777" w:rsidR="004B553E" w:rsidRPr="00E7776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3D73D0AB" w14:textId="77777777" w:rsidR="004B553E" w:rsidRPr="00E7776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1F3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F1913DA" w14:textId="77777777" w:rsidR="004B553E" w:rsidRPr="00E7776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1F3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01B62F8" w14:textId="77777777" w:rsidR="004B553E" w:rsidRPr="00E7776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55B09697" w14:textId="77777777" w:rsidR="004B553E" w:rsidRPr="00E7776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5.</w:t>
            </w:r>
          </w:p>
        </w:tc>
      </w:tr>
      <w:tr w:rsidR="004B553E" w:rsidRPr="00E77764" w14:paraId="7B2772B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76773E" w14:textId="77777777" w:rsidR="004B553E" w:rsidRPr="00E77764" w:rsidRDefault="004B553E" w:rsidP="00D5334D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1AC95579" w14:textId="77777777" w:rsidR="004B553E" w:rsidRPr="00E7776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2600" w:rsidRPr="00E77764"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zimski</w:t>
            </w:r>
          </w:p>
          <w:p w14:paraId="38E0D587" w14:textId="77777777" w:rsidR="004B553E" w:rsidRPr="00E77764" w:rsidRDefault="00000000" w:rsidP="0079745E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246C7C54" w14:textId="77777777" w:rsidR="004B553E" w:rsidRPr="00E7776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0EA65A6" w14:textId="77777777" w:rsidR="004B553E" w:rsidRPr="00E7776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B4A87EA" w14:textId="77777777" w:rsidR="004B553E" w:rsidRPr="00E7776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1F3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54D0A87" w14:textId="77777777" w:rsidR="004B553E" w:rsidRPr="00E7776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1799B3E3" w14:textId="77777777" w:rsidR="004B553E" w:rsidRPr="00E7776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1F3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E96D2F1" w14:textId="77777777" w:rsidR="004B553E" w:rsidRPr="00E77764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E77764">
              <w:rPr>
                <w:rFonts w:ascii="Merriweather" w:hAnsi="Merriweather" w:cs="Calibri Light"/>
                <w:sz w:val="16"/>
                <w:szCs w:val="16"/>
              </w:rPr>
              <w:t xml:space="preserve"> VI.</w:t>
            </w:r>
          </w:p>
        </w:tc>
      </w:tr>
      <w:tr w:rsidR="00393964" w:rsidRPr="00E77764" w14:paraId="3D96585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367D5FB" w14:textId="77777777" w:rsidR="00393964" w:rsidRPr="00E77764" w:rsidRDefault="00393964" w:rsidP="00D5334D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188C465" w14:textId="77777777" w:rsidR="00393964" w:rsidRPr="00E77764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E77764">
              <w:rPr>
                <w:rFonts w:ascii="Merriweather" w:hAnsi="Merriweather" w:cs="Calibri Light"/>
                <w:sz w:val="16"/>
                <w:szCs w:val="16"/>
              </w:rPr>
              <w:t xml:space="preserve"> obvezni</w:t>
            </w:r>
            <w:r w:rsidR="00453362" w:rsidRPr="00E77764">
              <w:rPr>
                <w:rFonts w:ascii="Merriweather" w:hAnsi="Merriweather" w:cs="Calibri Light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66E311BC" w14:textId="77777777" w:rsidR="00393964" w:rsidRPr="00E77764" w:rsidRDefault="00000000" w:rsidP="00FF1020">
            <w:pPr>
              <w:spacing w:before="20" w:after="20"/>
              <w:jc w:val="center"/>
              <w:rPr>
                <w:rFonts w:ascii="Merriweather" w:hAnsi="Merriweather" w:cs="Calibri Light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1F3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E77764">
              <w:rPr>
                <w:rFonts w:ascii="Merriweather" w:hAnsi="Merriweather" w:cs="Calibri Light"/>
                <w:sz w:val="16"/>
                <w:szCs w:val="16"/>
              </w:rPr>
              <w:t xml:space="preserve"> izborni</w:t>
            </w:r>
            <w:r w:rsidR="00453362" w:rsidRPr="00E77764">
              <w:rPr>
                <w:rFonts w:ascii="Merriweather" w:hAnsi="Merriweather" w:cs="Calibri Light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02C383B" w14:textId="77777777" w:rsidR="00393964" w:rsidRPr="00E7776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E77764">
              <w:rPr>
                <w:rFonts w:ascii="Merriweather" w:hAnsi="Merriweather" w:cs="Calibri Light"/>
                <w:sz w:val="16"/>
                <w:szCs w:val="16"/>
              </w:rPr>
              <w:t xml:space="preserve"> izborni </w:t>
            </w:r>
            <w:r w:rsidR="00453362" w:rsidRPr="00E77764">
              <w:rPr>
                <w:rFonts w:ascii="Merriweather" w:hAnsi="Merriweather" w:cs="Calibri Light"/>
                <w:sz w:val="16"/>
                <w:szCs w:val="16"/>
              </w:rPr>
              <w:t xml:space="preserve">kolegij </w:t>
            </w:r>
            <w:r w:rsidR="00393964" w:rsidRPr="00E77764">
              <w:rPr>
                <w:rFonts w:ascii="Merriweather" w:hAnsi="Merriweather" w:cs="Calibri Light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B760E98" w14:textId="77777777" w:rsidR="00393964" w:rsidRPr="00E77764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B1AAAEB" w14:textId="77777777" w:rsidR="00393964" w:rsidRPr="00E7776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1F3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E77764">
              <w:rPr>
                <w:rFonts w:ascii="Merriweather" w:hAnsi="Merriweather" w:cs="Calibri Light"/>
                <w:sz w:val="16"/>
                <w:szCs w:val="16"/>
              </w:rPr>
              <w:t xml:space="preserve"> DA</w:t>
            </w:r>
          </w:p>
          <w:p w14:paraId="791BE112" w14:textId="77777777" w:rsidR="00393964" w:rsidRPr="00E7776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1F3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E77764">
              <w:rPr>
                <w:rFonts w:ascii="Merriweather" w:hAnsi="Merriweather" w:cs="Calibri Light"/>
                <w:sz w:val="16"/>
                <w:szCs w:val="16"/>
              </w:rPr>
              <w:t xml:space="preserve"> NE</w:t>
            </w:r>
          </w:p>
        </w:tc>
      </w:tr>
      <w:tr w:rsidR="00453362" w:rsidRPr="00E77764" w14:paraId="36FACF6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BC8C61F" w14:textId="77777777" w:rsidR="00453362" w:rsidRPr="00E77764" w:rsidRDefault="00453362" w:rsidP="0079745E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Opterećenje</w:t>
            </w:r>
            <w:r w:rsidR="00FC2198" w:rsidRPr="00E77764">
              <w:rPr>
                <w:rFonts w:ascii="Merriweather" w:hAnsi="Merriweather" w:cs="Calibri Ligh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70656109" w14:textId="77777777" w:rsidR="00453362" w:rsidRPr="00E77764" w:rsidRDefault="000F4C8B" w:rsidP="00D5523D">
            <w:pPr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1</w:t>
            </w:r>
            <w:r w:rsidR="00E35764" w:rsidRPr="00E77764">
              <w:rPr>
                <w:rFonts w:ascii="Merriweather" w:hAnsi="Merriweather" w:cs="Calibri Light"/>
                <w:sz w:val="16"/>
                <w:szCs w:val="16"/>
              </w:rPr>
              <w:t>5</w:t>
            </w:r>
          </w:p>
        </w:tc>
        <w:tc>
          <w:tcPr>
            <w:tcW w:w="416" w:type="dxa"/>
          </w:tcPr>
          <w:p w14:paraId="7C4884EF" w14:textId="77777777" w:rsidR="00453362" w:rsidRPr="00E77764" w:rsidRDefault="00453362" w:rsidP="00D5523D">
            <w:pPr>
              <w:spacing w:before="20" w:after="20"/>
              <w:jc w:val="center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0520CFF8" w14:textId="77777777" w:rsidR="00453362" w:rsidRPr="00E77764" w:rsidRDefault="00E35764" w:rsidP="00FF1020">
            <w:pPr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56D71C68" w14:textId="77777777" w:rsidR="00453362" w:rsidRPr="00E77764" w:rsidRDefault="00453362" w:rsidP="00D5523D">
            <w:pPr>
              <w:spacing w:before="20" w:after="20"/>
              <w:jc w:val="center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1569AE48" w14:textId="77777777" w:rsidR="00453362" w:rsidRPr="00E77764" w:rsidRDefault="00453362" w:rsidP="00D5523D">
            <w:pPr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124FB43C" w14:textId="77777777" w:rsidR="00453362" w:rsidRPr="00E77764" w:rsidRDefault="00453362" w:rsidP="00D5523D">
            <w:pPr>
              <w:spacing w:before="20" w:after="20"/>
              <w:jc w:val="center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6C21E7E" w14:textId="77777777" w:rsidR="00453362" w:rsidRPr="00E77764" w:rsidRDefault="00453362" w:rsidP="0079745E">
            <w:pPr>
              <w:spacing w:before="20" w:after="20"/>
              <w:jc w:val="right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0188032" w14:textId="77777777" w:rsidR="00453362" w:rsidRPr="00E77764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1F3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E77764">
              <w:rPr>
                <w:rFonts w:ascii="Merriweather" w:hAnsi="Merriweather" w:cs="Calibri Light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E77764">
              <w:rPr>
                <w:rFonts w:ascii="Merriweather" w:hAnsi="Merriweather" w:cs="Calibri Light"/>
                <w:sz w:val="16"/>
                <w:szCs w:val="16"/>
              </w:rPr>
              <w:t xml:space="preserve"> NE</w:t>
            </w:r>
          </w:p>
        </w:tc>
      </w:tr>
      <w:tr w:rsidR="00453362" w:rsidRPr="00E77764" w14:paraId="14059E9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EF2DEE8" w14:textId="77777777" w:rsidR="00453362" w:rsidRPr="00E77764" w:rsidRDefault="00453362" w:rsidP="0079745E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565E513B" w14:textId="1EF96F57" w:rsidR="00EE3457" w:rsidRPr="00E77764" w:rsidRDefault="00E77764" w:rsidP="001D1F37">
            <w:pPr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>
              <w:rPr>
                <w:rFonts w:ascii="Merriweather" w:hAnsi="Merriweather" w:cs="Calibri Light"/>
                <w:sz w:val="16"/>
                <w:szCs w:val="16"/>
              </w:rPr>
              <w:t>Srijedom</w:t>
            </w:r>
            <w:r w:rsidR="001D1F37" w:rsidRPr="00E77764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3A58FF" w:rsidRPr="00E77764">
              <w:rPr>
                <w:rFonts w:ascii="Merriweather" w:hAnsi="Merriweather" w:cs="Calibri Light"/>
                <w:sz w:val="16"/>
                <w:szCs w:val="16"/>
              </w:rPr>
              <w:t>14</w:t>
            </w:r>
            <w:r w:rsidR="001D1F37" w:rsidRPr="00E77764">
              <w:rPr>
                <w:rFonts w:ascii="Merriweather" w:hAnsi="Merriweather" w:cs="Calibri Light"/>
                <w:sz w:val="16"/>
                <w:szCs w:val="16"/>
              </w:rPr>
              <w:t>:00-</w:t>
            </w:r>
            <w:r w:rsidR="003A58FF" w:rsidRPr="00E77764">
              <w:rPr>
                <w:rFonts w:ascii="Merriweather" w:hAnsi="Merriweather" w:cs="Calibri Light"/>
                <w:sz w:val="16"/>
                <w:szCs w:val="16"/>
              </w:rPr>
              <w:t>17</w:t>
            </w:r>
            <w:r w:rsidR="001D1F37" w:rsidRPr="00E77764">
              <w:rPr>
                <w:rFonts w:ascii="Merriweather" w:hAnsi="Merriweather" w:cs="Calibri Light"/>
                <w:sz w:val="16"/>
                <w:szCs w:val="16"/>
              </w:rPr>
              <w:t xml:space="preserve">:00, </w:t>
            </w:r>
          </w:p>
          <w:p w14:paraId="7B5F344C" w14:textId="77777777" w:rsidR="00453362" w:rsidRPr="00E77764" w:rsidRDefault="001D1F37" w:rsidP="003A58FF">
            <w:pPr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Informatička dvorana, Obala kralja Petra Krešimira IV. 2, Zadar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0E664F15" w14:textId="77777777" w:rsidR="00453362" w:rsidRPr="00E77764" w:rsidRDefault="00453362" w:rsidP="00FF1020">
            <w:pPr>
              <w:spacing w:before="20" w:after="20"/>
              <w:jc w:val="center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05F49BB2" w14:textId="77777777" w:rsidR="00453362" w:rsidRPr="00E77764" w:rsidRDefault="001D1F37" w:rsidP="0079745E">
            <w:pPr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engleski</w:t>
            </w:r>
          </w:p>
        </w:tc>
      </w:tr>
      <w:tr w:rsidR="00453362" w:rsidRPr="00E77764" w14:paraId="4170A6E1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6A18655" w14:textId="77777777" w:rsidR="00453362" w:rsidRPr="00E77764" w:rsidRDefault="00453362" w:rsidP="00FF1020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DAB3A4D" w14:textId="14638E35" w:rsidR="00453362" w:rsidRPr="00E77764" w:rsidRDefault="00F64DB0" w:rsidP="001D1F3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2</w:t>
            </w:r>
            <w:r w:rsidR="001D1F37" w:rsidRPr="00E77764">
              <w:rPr>
                <w:rFonts w:ascii="Merriweather" w:hAnsi="Merriweather" w:cs="Calibri Light"/>
                <w:sz w:val="16"/>
                <w:szCs w:val="16"/>
              </w:rPr>
              <w:t xml:space="preserve">. 10. </w:t>
            </w:r>
            <w:r w:rsidR="005972F4" w:rsidRPr="00E77764">
              <w:rPr>
                <w:rFonts w:ascii="Merriweather" w:hAnsi="Merriweather" w:cs="Calibri Light"/>
                <w:sz w:val="16"/>
                <w:szCs w:val="16"/>
              </w:rPr>
              <w:t>202</w:t>
            </w:r>
            <w:r w:rsidR="00E77764">
              <w:rPr>
                <w:rFonts w:ascii="Merriweather" w:hAnsi="Merriweather" w:cs="Calibri Light"/>
                <w:sz w:val="16"/>
                <w:szCs w:val="16"/>
              </w:rPr>
              <w:t>4</w:t>
            </w:r>
            <w:r w:rsidR="001D1F37" w:rsidRPr="00E77764">
              <w:rPr>
                <w:rFonts w:ascii="Merriweather" w:hAnsi="Merriweather" w:cs="Calibri Light"/>
                <w:sz w:val="16"/>
                <w:szCs w:val="16"/>
              </w:rPr>
              <w:t xml:space="preserve">.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CE88A7E" w14:textId="77777777" w:rsidR="00453362" w:rsidRPr="00E77764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015DA9D" w14:textId="7A64D0D8" w:rsidR="00453362" w:rsidRPr="00E77764" w:rsidRDefault="005972F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2</w:t>
            </w:r>
            <w:r w:rsidR="00E77764">
              <w:rPr>
                <w:rFonts w:ascii="Merriweather" w:hAnsi="Merriweather" w:cs="Calibri Light"/>
                <w:sz w:val="16"/>
                <w:szCs w:val="16"/>
              </w:rPr>
              <w:t>4</w:t>
            </w:r>
            <w:r w:rsidR="003A58FF" w:rsidRPr="00E77764">
              <w:rPr>
                <w:rFonts w:ascii="Merriweather" w:hAnsi="Merriweather" w:cs="Calibri Light"/>
                <w:sz w:val="16"/>
                <w:szCs w:val="16"/>
              </w:rPr>
              <w:t xml:space="preserve">. 1. </w:t>
            </w:r>
            <w:r w:rsidRPr="00E77764">
              <w:rPr>
                <w:rFonts w:ascii="Merriweather" w:hAnsi="Merriweather" w:cs="Calibri Light"/>
                <w:sz w:val="16"/>
                <w:szCs w:val="16"/>
              </w:rPr>
              <w:t>202</w:t>
            </w:r>
            <w:r w:rsidR="00E77764">
              <w:rPr>
                <w:rFonts w:ascii="Merriweather" w:hAnsi="Merriweather" w:cs="Calibri Light"/>
                <w:sz w:val="16"/>
                <w:szCs w:val="16"/>
              </w:rPr>
              <w:t>5</w:t>
            </w:r>
            <w:r w:rsidR="003A58FF" w:rsidRPr="00E77764">
              <w:rPr>
                <w:rFonts w:ascii="Merriweather" w:hAnsi="Merriweather" w:cs="Calibri Light"/>
                <w:sz w:val="16"/>
                <w:szCs w:val="16"/>
              </w:rPr>
              <w:t>.</w:t>
            </w:r>
          </w:p>
        </w:tc>
      </w:tr>
      <w:tr w:rsidR="001D1F37" w:rsidRPr="00E77764" w14:paraId="0F56C01E" w14:textId="77777777" w:rsidTr="00693BFB">
        <w:tc>
          <w:tcPr>
            <w:tcW w:w="1802" w:type="dxa"/>
            <w:shd w:val="clear" w:color="auto" w:fill="F2F2F2" w:themeFill="background1" w:themeFillShade="F2"/>
          </w:tcPr>
          <w:p w14:paraId="19BEEA85" w14:textId="77777777" w:rsidR="001D1F37" w:rsidRPr="00E77764" w:rsidRDefault="001D1F37" w:rsidP="001D1F3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</w:tcPr>
          <w:p w14:paraId="4C37AF8E" w14:textId="77777777" w:rsidR="001D1F37" w:rsidRPr="00E77764" w:rsidRDefault="001D1F37" w:rsidP="001D1F3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Studenti trebaju biti upisani u 3. ili 5. semestar preddiplomskog studija anglistike.</w:t>
            </w:r>
          </w:p>
        </w:tc>
      </w:tr>
      <w:tr w:rsidR="001D1F37" w:rsidRPr="00E77764" w14:paraId="5558366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E14F719" w14:textId="77777777" w:rsidR="001D1F37" w:rsidRPr="00E77764" w:rsidRDefault="001D1F37" w:rsidP="001D1F37">
            <w:pPr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</w:tr>
      <w:tr w:rsidR="001D1F37" w:rsidRPr="00E77764" w14:paraId="2A87CF5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42BC95D" w14:textId="77777777" w:rsidR="001D1F37" w:rsidRPr="00E77764" w:rsidRDefault="001D1F37" w:rsidP="001D1F3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0ED8B441" w14:textId="77777777" w:rsidR="001D1F37" w:rsidRPr="00E77764" w:rsidRDefault="005972F4" w:rsidP="001D1F3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doc. dr. sc. Frane Malenica</w:t>
            </w:r>
          </w:p>
        </w:tc>
      </w:tr>
      <w:tr w:rsidR="005972F4" w:rsidRPr="00E77764" w14:paraId="6378FF8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7294EFC" w14:textId="77777777" w:rsidR="005972F4" w:rsidRPr="00E77764" w:rsidRDefault="005972F4" w:rsidP="005972F4">
            <w:pPr>
              <w:spacing w:before="20" w:after="20"/>
              <w:jc w:val="right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6C7FD5A" w14:textId="77777777" w:rsidR="005972F4" w:rsidRPr="00E77764" w:rsidRDefault="005972F4" w:rsidP="005972F4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fmalenica@unizd.hr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14F3D71" w14:textId="77777777" w:rsidR="005972F4" w:rsidRPr="00E77764" w:rsidRDefault="005972F4" w:rsidP="005972F4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7F4C010" w14:textId="77777777" w:rsidR="005972F4" w:rsidRPr="00E77764" w:rsidRDefault="005972F4" w:rsidP="005972F4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UTO   11:00 – 13:00</w:t>
            </w:r>
          </w:p>
        </w:tc>
      </w:tr>
      <w:tr w:rsidR="009D18C7" w:rsidRPr="00E77764" w14:paraId="3B665AB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EEC710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6A578A6D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doc. dr. sc. Frane Malenica</w:t>
            </w:r>
          </w:p>
        </w:tc>
      </w:tr>
      <w:tr w:rsidR="009D18C7" w:rsidRPr="00E77764" w14:paraId="5A8C02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0B37752" w14:textId="77777777" w:rsidR="009D18C7" w:rsidRPr="00E77764" w:rsidRDefault="009D18C7" w:rsidP="009D18C7">
            <w:pPr>
              <w:spacing w:before="20" w:after="20"/>
              <w:jc w:val="right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FF57840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fmalenica@unizd.hr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7132BEE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5892CE4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UTO   11:00 – 13:00</w:t>
            </w:r>
          </w:p>
        </w:tc>
      </w:tr>
      <w:tr w:rsidR="009D18C7" w:rsidRPr="00E77764" w14:paraId="4B09CAC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8390F56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500E2E0F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</w:tr>
      <w:tr w:rsidR="009D18C7" w:rsidRPr="00E77764" w14:paraId="3FFF862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1B5A350" w14:textId="77777777" w:rsidR="009D18C7" w:rsidRPr="00E77764" w:rsidRDefault="009D18C7" w:rsidP="009D18C7">
            <w:pPr>
              <w:spacing w:before="20" w:after="20"/>
              <w:jc w:val="right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0471E89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36B4BE2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64AD5F9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</w:tr>
      <w:tr w:rsidR="009D18C7" w:rsidRPr="00E77764" w14:paraId="3710B61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8C95D34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097D16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</w:tr>
      <w:tr w:rsidR="009D18C7" w:rsidRPr="00E77764" w14:paraId="624C668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7268F5D" w14:textId="77777777" w:rsidR="009D18C7" w:rsidRPr="00E77764" w:rsidRDefault="009D18C7" w:rsidP="009D18C7">
            <w:pPr>
              <w:spacing w:before="20" w:after="20"/>
              <w:jc w:val="right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D5691B1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D2001E7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FF5C327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</w:tr>
      <w:tr w:rsidR="009D18C7" w:rsidRPr="00E77764" w14:paraId="210A53BE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8069EE4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</w:tr>
      <w:tr w:rsidR="009D18C7" w:rsidRPr="00E77764" w14:paraId="4679000A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43B5B5E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42CF998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1C700AE5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15EC265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B544FF0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C8BB3AE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terenska nastava</w:t>
            </w:r>
          </w:p>
        </w:tc>
      </w:tr>
      <w:tr w:rsidR="009D18C7" w:rsidRPr="00E77764" w14:paraId="758D095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B0353C7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9B1D275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2600" w:rsidRPr="00E77764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5E3B22F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B37B38E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62F01970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00CC923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ostalo</w:t>
            </w:r>
          </w:p>
        </w:tc>
      </w:tr>
      <w:tr w:rsidR="009D18C7" w:rsidRPr="00E77764" w14:paraId="5CA2B998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EAB852D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520E8E3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 xml:space="preserve">Po završetku ovog kolegija, studenti će moći: </w:t>
            </w:r>
          </w:p>
          <w:p w14:paraId="6A9328A0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 xml:space="preserve">• prepoznati važnost znanstvenih metoda u lingvističkim istraživanjima i njihove glavne značajke; </w:t>
            </w:r>
          </w:p>
          <w:p w14:paraId="2A8A6C00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• prepoznati glavne vrste kvantitativnih metoda prikupljanja jezičnih podataka te prepoznati razlike među njima;</w:t>
            </w:r>
          </w:p>
          <w:p w14:paraId="1B5E08BB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• prepoznati i objasniti razlike i odnose između pojedinih vrsta varijabli pri osmišljavanju i provođenju lingvističkih istraživanja;</w:t>
            </w:r>
          </w:p>
          <w:p w14:paraId="0181A16A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• prepoznati i koristiti različite vrste jezičnih podataka i odgovarajuće metode za njihovo prikupljanje;</w:t>
            </w:r>
          </w:p>
          <w:p w14:paraId="651A0AD0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• prepoznati i slijediti etička načela pri provođenju lingvističkih istraživanja;</w:t>
            </w:r>
          </w:p>
          <w:p w14:paraId="331DCD51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• osmisliti i provesti vlastita lingvistička istraživanja;</w:t>
            </w:r>
          </w:p>
          <w:p w14:paraId="195A761E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• osmisliti i formulirati vlastiti nacrt istraživanja, istraživačka pitanja i hipoteze te ispitati tako dobivene hipoteze;</w:t>
            </w:r>
          </w:p>
          <w:p w14:paraId="3E7220A2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• procijeniti prikladnost pojedinih empirijskih metoda za ispitivanje pojedinih hipoteza i prikupljanje određenih vrsta podataka;</w:t>
            </w:r>
          </w:p>
          <w:p w14:paraId="3B5AC87C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• koristiti jezične korpuse u svrhu prikupljanja jezičnih podataka;</w:t>
            </w:r>
          </w:p>
          <w:p w14:paraId="24CA0A86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• provesti odgovarajuće postupke za analiziranje, sumiranje i opis prikupljenih kvantitativnih jezičnih podataka;</w:t>
            </w:r>
          </w:p>
          <w:p w14:paraId="76028979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lastRenderedPageBreak/>
              <w:t>• povezati rezultate svojeg istraživanja s rezultatima prethodnih lingvističkih istraživanja;</w:t>
            </w:r>
          </w:p>
          <w:p w14:paraId="5A60DC25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• objasniti i argumentirati odabir pojedinih metoda i načina provođenja istraživanja;</w:t>
            </w:r>
          </w:p>
          <w:p w14:paraId="50EA5494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• sažeti i analizirati rezultate svog istraživanja i procijeniti važnost tih rezultata unutar suvremenih znanstvenih spoznaja i teorijskih modela jezika; i</w:t>
            </w:r>
          </w:p>
          <w:p w14:paraId="48BB8323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FF0000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• primjenjivati stečene istraživačke vještine u međunarodnom znanstvenom i profesionalnom okruženju.</w:t>
            </w:r>
          </w:p>
        </w:tc>
      </w:tr>
      <w:tr w:rsidR="009D18C7" w:rsidRPr="00E77764" w14:paraId="76A9E9BF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9B6DAED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6F9A6B7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 xml:space="preserve">Po završetku ovog kolegija, studenti će moći: </w:t>
            </w:r>
          </w:p>
          <w:p w14:paraId="527D948B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• primijeniti kritičan i samokritičan pristup u argumentaciji;</w:t>
            </w:r>
          </w:p>
          <w:p w14:paraId="36B87F13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 xml:space="preserve">• provesti znanstvene metode istraživanja; </w:t>
            </w:r>
          </w:p>
          <w:p w14:paraId="5EEFC8ED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• primijeniti etička načela u samostalnom i grupnom rješavanju problema i provođenju istraživanja; i</w:t>
            </w:r>
          </w:p>
          <w:p w14:paraId="2FFC21D0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Calibri Light"/>
                <w:color w:val="FF0000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color w:val="000000" w:themeColor="text1"/>
                <w:sz w:val="16"/>
                <w:szCs w:val="16"/>
              </w:rPr>
              <w:t>• procijeniti važnost rada u međunarodnom kontekstu.</w:t>
            </w:r>
          </w:p>
        </w:tc>
      </w:tr>
      <w:tr w:rsidR="009D18C7" w:rsidRPr="00E77764" w14:paraId="1A7164C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F7945A3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</w:p>
        </w:tc>
      </w:tr>
      <w:tr w:rsidR="009D18C7" w:rsidRPr="00E77764" w14:paraId="1B329DD7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B348CDA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A0C3725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41AC903C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4262923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704E74E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322A48AB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istraživanje</w:t>
            </w:r>
          </w:p>
        </w:tc>
      </w:tr>
      <w:tr w:rsidR="009D18C7" w:rsidRPr="00E77764" w14:paraId="02F5E88F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FDE1326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591950A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D0F5A67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110BFCFC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3F501AD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394E112E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seminar</w:t>
            </w:r>
          </w:p>
        </w:tc>
      </w:tr>
      <w:tr w:rsidR="009D18C7" w:rsidRPr="00E77764" w14:paraId="29072AFA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EE75712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040BF4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24B8C3F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750296C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951FA97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ostalo:</w:t>
            </w:r>
          </w:p>
        </w:tc>
      </w:tr>
      <w:tr w:rsidR="009D18C7" w:rsidRPr="00E77764" w14:paraId="19CDCFD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3089489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B370BD5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i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Prisutnost na predavanjima (najmanje 70%) i seminarima (najmanje 70%)</w:t>
            </w:r>
          </w:p>
        </w:tc>
      </w:tr>
      <w:tr w:rsidR="009D18C7" w:rsidRPr="00E77764" w14:paraId="48EE3F7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7AAF5F9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44AB11E5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1DA601F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61A66E9C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jesenski ispitni rok</w:t>
            </w:r>
          </w:p>
        </w:tc>
      </w:tr>
      <w:tr w:rsidR="009D18C7" w:rsidRPr="00E77764" w14:paraId="3DD28524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706C965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C522ECA" w14:textId="7DDA1CDF" w:rsidR="009D18C7" w:rsidRPr="00E77764" w:rsidRDefault="006461AB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hyperlink r:id="rId8" w:history="1">
              <w:r w:rsidRPr="006007D0">
                <w:rPr>
                  <w:rStyle w:val="Hyperlink"/>
                  <w:rFonts w:ascii="Merriweather" w:hAnsi="Merriweather" w:cs="Calibri Light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47D9C051" w14:textId="2E728ACC" w:rsidR="009D18C7" w:rsidRPr="00E77764" w:rsidRDefault="006461AB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hyperlink r:id="rId9" w:history="1">
              <w:r w:rsidRPr="006007D0">
                <w:rPr>
                  <w:rStyle w:val="Hyperlink"/>
                  <w:rFonts w:ascii="Merriweather" w:hAnsi="Merriweather" w:cs="Calibri Light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</w:p>
        </w:tc>
        <w:tc>
          <w:tcPr>
            <w:tcW w:w="2112" w:type="dxa"/>
            <w:gridSpan w:val="7"/>
            <w:vAlign w:val="center"/>
          </w:tcPr>
          <w:p w14:paraId="1611A423" w14:textId="43B33C23" w:rsidR="009D18C7" w:rsidRPr="00E77764" w:rsidRDefault="006461AB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hyperlink r:id="rId10" w:history="1">
              <w:r w:rsidRPr="006007D0">
                <w:rPr>
                  <w:rStyle w:val="Hyperlink"/>
                  <w:rFonts w:ascii="Merriweather" w:hAnsi="Merriweather" w:cs="Calibri Light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</w:p>
        </w:tc>
      </w:tr>
      <w:tr w:rsidR="009D18C7" w:rsidRPr="00E77764" w14:paraId="3C56BFB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04A9948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8E74BE0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Prikupljanje jezičnih podataka i provođenje istraživanja čine jednu od glavnih karakteristika lingvistike kao empirijske znanosti. Kvantitativni se jezični podaci koriste pri istraživanju značajki engleskog (ali i drugih) jezika u sklopu svih lingvističkih razina i grana – fonologije, morfologije, sintakse, semantike, frazeologije, leksikologije, psiholingvistike, sociolingvistike itd. Cilj ovog kolegija jest predstaviti neke od osnovnih i najčešće korištenih kvantitativnih metoda za prikupljanje jezičnih podataka vezanih uz engleski jezik. U sklopu ovog kolegija studenti će naučiti prepoznati glavne odlike empirijskih metoda u lingvističkim istraživanjima, prepoznati i razlikovati različite vrste varijabli koje se koriste pri osmišljavanju nekog istraživanja, naučiti kako formulirati hipoteze i istraživačka pitanja, kako osmisliti nacrt i uzorak koji će koristiti u istraživanju, kako prikupljati podatke putem jezičnih korpusa, kako koristiti odgovarajuće statističke metode za sumiranje, opisivanje i prezentiranje prikupljenih podataka te se upoznati s etičkim pitanjima i drugim problemima koji se javljaju unutar empirijskih istraživanja. U sklopu seminara, studenti će na primjerima objavljenih znanstvenih radova naučiti kako prepoznati spomenute dijelove znanstvenih istraživanja, te prepoznati prednosti i mane pojedinih istraživanja i pojedinih metoda za prikupljanje podataka. Za potrebe ovog kolegija studenti trebaju osmisliti i provesti vlastito istraživanje u sklopu kojeg će koristiti neke od metoda naučenih na ovom kolegiju te će u sklopu rasprava na kolegiju obrazložiti odabir teme, nacrta istraživanja i korištenih metoda te će iznijeti kratak pregled rezultata svog istraživanja.</w:t>
            </w:r>
          </w:p>
        </w:tc>
      </w:tr>
      <w:tr w:rsidR="009D18C7" w:rsidRPr="00E77764" w14:paraId="5743856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705CC89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48483AD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1. Uvod</w:t>
            </w:r>
          </w:p>
          <w:p w14:paraId="4ABC70DE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2. Znanost i znanstvene metode, kvalitativne i kvantitativne metode, vrste podataka</w:t>
            </w:r>
          </w:p>
          <w:p w14:paraId="3A42D981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3. Vrste varijabli (zavisne/nezavisne, numeričke/kategoričke), vrste skala, hipoteze</w:t>
            </w:r>
          </w:p>
          <w:p w14:paraId="319EF013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4. Faze istraživačkog procesa, istraživačka pitanja, nacrt istraživanja, vrste nacrta, vrste uzoraka </w:t>
            </w:r>
          </w:p>
          <w:p w14:paraId="396CC3F2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5. Valjanost i pouzdanost, etička načela, plagiranje</w:t>
            </w:r>
          </w:p>
          <w:p w14:paraId="1CA5F9DA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6. Prezentiranje podataka I – izrada prijedloga i opisa istraživanja, savjeti za pisanje</w:t>
            </w:r>
          </w:p>
          <w:p w14:paraId="266ED8FE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7. Rasprava I – odabir teme i metoda</w:t>
            </w:r>
          </w:p>
          <w:p w14:paraId="058755FA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8. Korpusna istraživanja I </w:t>
            </w:r>
          </w:p>
          <w:p w14:paraId="33FA1929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9. Korpusna istraživanja II</w:t>
            </w:r>
          </w:p>
          <w:p w14:paraId="1CA3FC5C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10. Korpusna istraživanja III</w:t>
            </w:r>
          </w:p>
          <w:p w14:paraId="5A150D51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11. Rasprava II – opis teme i metoda </w:t>
            </w:r>
          </w:p>
          <w:p w14:paraId="74ACC998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12. Deskriptivna statistika I – Frekvencije, kumulativne frekvencije, postoci</w:t>
            </w:r>
          </w:p>
          <w:p w14:paraId="23BEBF03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13. Deskriptivna statistika II – Mjere središnje vrijednosti, mjere raspršenja</w:t>
            </w:r>
          </w:p>
          <w:p w14:paraId="67B2940E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14. Kolokvij</w:t>
            </w:r>
          </w:p>
          <w:p w14:paraId="48E6BF3E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i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15. Rasprava III – rezultati</w:t>
            </w:r>
          </w:p>
        </w:tc>
      </w:tr>
      <w:tr w:rsidR="009D18C7" w:rsidRPr="00E77764" w14:paraId="7E9C4C4F" w14:textId="77777777" w:rsidTr="00694666">
        <w:tc>
          <w:tcPr>
            <w:tcW w:w="1802" w:type="dxa"/>
            <w:shd w:val="clear" w:color="auto" w:fill="F2F2F2" w:themeFill="background1" w:themeFillShade="F2"/>
          </w:tcPr>
          <w:p w14:paraId="54620FD2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105BCBC" w14:textId="77777777" w:rsidR="009D18C7" w:rsidRPr="00E77764" w:rsidRDefault="009D18C7" w:rsidP="009D18C7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Biber, D. &amp; Reppen, R. (2015). </w:t>
            </w:r>
            <w:r w:rsidRPr="00E77764">
              <w:rPr>
                <w:rFonts w:ascii="Merriweather" w:eastAsia="MS Gothic" w:hAnsi="Merriweather" w:cs="Calibri Light"/>
                <w:i/>
                <w:sz w:val="16"/>
                <w:szCs w:val="16"/>
              </w:rPr>
              <w:t xml:space="preserve">English Corpus Linguistics. 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Cambridge University Press.</w:t>
            </w:r>
          </w:p>
          <w:p w14:paraId="64266325" w14:textId="77777777" w:rsidR="009D18C7" w:rsidRPr="00E77764" w:rsidRDefault="009D18C7" w:rsidP="009D18C7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Brezina, V. (2018). </w:t>
            </w:r>
            <w:r w:rsidRPr="00E77764">
              <w:rPr>
                <w:rFonts w:ascii="Merriweather" w:eastAsia="MS Gothic" w:hAnsi="Merriweather" w:cs="Calibri Light"/>
                <w:i/>
                <w:sz w:val="16"/>
                <w:szCs w:val="16"/>
              </w:rPr>
              <w:t>Statistics in Corpus Linguistics: A Practical Guide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(1st ed.). Cambridge University Press.</w:t>
            </w:r>
          </w:p>
          <w:p w14:paraId="2FB65D08" w14:textId="77777777" w:rsidR="009D18C7" w:rsidRPr="00E77764" w:rsidRDefault="009D18C7" w:rsidP="009D18C7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Litosseliti, L. (Ed.). (2010). </w:t>
            </w:r>
            <w:r w:rsidRPr="00E77764">
              <w:rPr>
                <w:rFonts w:ascii="Merriweather" w:eastAsia="MS Gothic" w:hAnsi="Merriweather" w:cs="Calibri Light"/>
                <w:i/>
                <w:sz w:val="16"/>
                <w:szCs w:val="16"/>
              </w:rPr>
              <w:t>Research methods in linguistics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. Continuum.</w:t>
            </w:r>
          </w:p>
          <w:p w14:paraId="021BC68A" w14:textId="77777777" w:rsidR="009D18C7" w:rsidRPr="00E77764" w:rsidRDefault="009D18C7" w:rsidP="009D18C7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Podesva, R., &amp; Sharma, D. (Eds.). (2013). </w:t>
            </w:r>
            <w:r w:rsidRPr="00E77764">
              <w:rPr>
                <w:rFonts w:ascii="Merriweather" w:eastAsia="MS Gothic" w:hAnsi="Merriweather" w:cs="Calibri Light"/>
                <w:i/>
                <w:sz w:val="16"/>
                <w:szCs w:val="16"/>
              </w:rPr>
              <w:t>Research methods in linguistics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. Cambridge University Press.</w:t>
            </w:r>
          </w:p>
        </w:tc>
      </w:tr>
      <w:tr w:rsidR="009D18C7" w:rsidRPr="00E77764" w14:paraId="05E513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D286B09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29F1E40" w14:textId="77777777" w:rsidR="009D18C7" w:rsidRPr="00E77764" w:rsidRDefault="009D18C7" w:rsidP="009D18C7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Clark-Carter, D. (2019). </w:t>
            </w:r>
            <w:r w:rsidRPr="00E77764">
              <w:rPr>
                <w:rFonts w:ascii="Merriweather" w:eastAsia="MS Gothic" w:hAnsi="Merriweather" w:cs="Calibri Light"/>
                <w:i/>
                <w:sz w:val="16"/>
                <w:szCs w:val="16"/>
              </w:rPr>
              <w:t>Quantitative psychological research: The complete student’s companion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(4th Edition). Routledge.</w:t>
            </w:r>
          </w:p>
          <w:p w14:paraId="4D5838E4" w14:textId="77777777" w:rsidR="009D18C7" w:rsidRPr="00E77764" w:rsidRDefault="009D18C7" w:rsidP="009D18C7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Hatch, E. M., &amp; Lazaraton, A. (1994). </w:t>
            </w:r>
            <w:r w:rsidRPr="00E77764">
              <w:rPr>
                <w:rFonts w:ascii="Merriweather" w:eastAsia="MS Gothic" w:hAnsi="Merriweather" w:cs="Calibri Light"/>
                <w:i/>
                <w:sz w:val="16"/>
                <w:szCs w:val="16"/>
              </w:rPr>
              <w:t>The research manual: Design and statistics for applied linguistics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. Heinle &amp; Heinle Publishers.</w:t>
            </w:r>
          </w:p>
          <w:p w14:paraId="4C8B7325" w14:textId="77777777" w:rsidR="009D18C7" w:rsidRPr="00E77764" w:rsidRDefault="009D18C7" w:rsidP="009D18C7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Johnson, K. (2008). </w:t>
            </w:r>
            <w:r w:rsidRPr="00E77764">
              <w:rPr>
                <w:rFonts w:ascii="Merriweather" w:eastAsia="MS Gothic" w:hAnsi="Merriweather" w:cs="Calibri Light"/>
                <w:i/>
                <w:sz w:val="16"/>
                <w:szCs w:val="16"/>
              </w:rPr>
              <w:t>Quantitative methods in linguistics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. Blackwell Pub.</w:t>
            </w:r>
          </w:p>
          <w:p w14:paraId="1CCD36FF" w14:textId="77777777" w:rsidR="009D18C7" w:rsidRPr="00E77764" w:rsidRDefault="009D18C7" w:rsidP="009D18C7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McEnery, T., &amp; Wilson, A. (2011). </w:t>
            </w:r>
            <w:r w:rsidRPr="00E77764">
              <w:rPr>
                <w:rFonts w:ascii="Merriweather" w:eastAsia="MS Gothic" w:hAnsi="Merriweather" w:cs="Calibri Light"/>
                <w:i/>
                <w:sz w:val="16"/>
                <w:szCs w:val="16"/>
              </w:rPr>
              <w:t>Corpus linguistics: An introduction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(2. ed., repr). Edinburgh Univ. Press.</w:t>
            </w:r>
          </w:p>
          <w:p w14:paraId="07C3A557" w14:textId="77777777" w:rsidR="009D18C7" w:rsidRPr="00E77764" w:rsidRDefault="009D18C7" w:rsidP="009D18C7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Pavlović, N., &amp; Stanojević, M. M. (2020). Znanstvena istraživanja jezika i prevođenja. Filozofski fakultet Sveučilišta u Zagrebu - FF Press.</w:t>
            </w:r>
          </w:p>
          <w:p w14:paraId="77AA9FC4" w14:textId="77777777" w:rsidR="009D18C7" w:rsidRPr="00E77764" w:rsidRDefault="009D18C7" w:rsidP="009D18C7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Phakiti, A. (2015). </w:t>
            </w:r>
            <w:r w:rsidRPr="00E77764">
              <w:rPr>
                <w:rFonts w:ascii="Merriweather" w:eastAsia="MS Gothic" w:hAnsi="Merriweather" w:cs="Calibri Light"/>
                <w:i/>
                <w:sz w:val="16"/>
                <w:szCs w:val="16"/>
              </w:rPr>
              <w:t>Experimental Research Methods in Language Learning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. Bloomsbury.</w:t>
            </w:r>
          </w:p>
          <w:p w14:paraId="67C02600" w14:textId="77777777" w:rsidR="009D18C7" w:rsidRPr="00E77764" w:rsidRDefault="009D18C7" w:rsidP="009D18C7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Rasinger, S. M. (2013). </w:t>
            </w:r>
            <w:r w:rsidRPr="00E77764">
              <w:rPr>
                <w:rFonts w:ascii="Merriweather" w:eastAsia="MS Gothic" w:hAnsi="Merriweather" w:cs="Calibri Light"/>
                <w:i/>
                <w:sz w:val="16"/>
                <w:szCs w:val="16"/>
              </w:rPr>
              <w:t>Quantitative research in linguistics: An introduction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(Second Edition). Bloomsbury.</w:t>
            </w:r>
          </w:p>
          <w:p w14:paraId="517EBB52" w14:textId="77777777" w:rsidR="009D18C7" w:rsidRPr="00E77764" w:rsidRDefault="009D18C7" w:rsidP="009D18C7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Wray, A., &amp; Bloomer, A. (2006). </w:t>
            </w:r>
            <w:r w:rsidRPr="00E77764">
              <w:rPr>
                <w:rFonts w:ascii="Merriweather" w:eastAsia="MS Gothic" w:hAnsi="Merriweather" w:cs="Calibri Light"/>
                <w:i/>
                <w:sz w:val="16"/>
                <w:szCs w:val="16"/>
              </w:rPr>
              <w:t>Projects in linguistics: A practical guide to researching language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(2nd ed). Hodder Arnold</w:t>
            </w:r>
            <w:r w:rsidRPr="00E77764">
              <w:rPr>
                <w:rFonts w:ascii="Times New Roman" w:eastAsia="MS Gothic" w:hAnsi="Times New Roman" w:cs="Times New Roman"/>
                <w:sz w:val="16"/>
                <w:szCs w:val="16"/>
              </w:rPr>
              <w:t> 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; Distributed in the United States of America by Oxford University Press.</w:t>
            </w:r>
          </w:p>
        </w:tc>
      </w:tr>
      <w:tr w:rsidR="009D18C7" w:rsidRPr="00E77764" w14:paraId="67FD922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1C9B41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247CEF85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Calibri Light"/>
                <w:sz w:val="16"/>
                <w:szCs w:val="16"/>
              </w:rPr>
            </w:pPr>
          </w:p>
        </w:tc>
      </w:tr>
      <w:tr w:rsidR="009D18C7" w:rsidRPr="00E77764" w14:paraId="2D681E13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5DD2EBA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11564467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358AEB0D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Calibri Light"/>
                <w:sz w:val="16"/>
                <w:szCs w:val="16"/>
              </w:rPr>
            </w:pPr>
          </w:p>
        </w:tc>
      </w:tr>
      <w:tr w:rsidR="009D18C7" w:rsidRPr="00E77764" w14:paraId="585A669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E569C44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BB59C9E" w14:textId="77777777" w:rsidR="009D18C7" w:rsidRPr="00E77764" w:rsidRDefault="00000000" w:rsidP="009D18C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9D18C7" w:rsidRPr="00E77764">
              <w:rPr>
                <w:rFonts w:ascii="Merriweather" w:hAnsi="Merriweather" w:cs="Calibri Light"/>
                <w:sz w:val="16"/>
                <w:szCs w:val="16"/>
                <w:lang w:eastAsia="hr-HR"/>
              </w:rPr>
              <w:t>završni</w:t>
            </w:r>
          </w:p>
          <w:p w14:paraId="714630E9" w14:textId="77777777" w:rsidR="009D18C7" w:rsidRPr="00E77764" w:rsidRDefault="009D18C7" w:rsidP="009D18C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CCF60D8" w14:textId="77777777" w:rsidR="009D18C7" w:rsidRPr="00E77764" w:rsidRDefault="00000000" w:rsidP="009D18C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9D18C7" w:rsidRPr="00E77764">
              <w:rPr>
                <w:rFonts w:ascii="Merriweather" w:hAnsi="Merriweather" w:cs="Calibri Light"/>
                <w:sz w:val="16"/>
                <w:szCs w:val="16"/>
                <w:lang w:eastAsia="hr-HR"/>
              </w:rPr>
              <w:t>završni</w:t>
            </w:r>
          </w:p>
          <w:p w14:paraId="2AC2FE3C" w14:textId="77777777" w:rsidR="009D18C7" w:rsidRPr="00E77764" w:rsidRDefault="009D18C7" w:rsidP="009D18C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5A00D61" w14:textId="77777777" w:rsidR="009D18C7" w:rsidRPr="00E77764" w:rsidRDefault="00000000" w:rsidP="009D18C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9D18C7" w:rsidRPr="00E77764">
              <w:rPr>
                <w:rFonts w:ascii="Merriweather" w:hAnsi="Merriweather" w:cs="Calibri Light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82E03F4" w14:textId="77777777" w:rsidR="009D18C7" w:rsidRPr="00E77764" w:rsidRDefault="00000000" w:rsidP="009D18C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9D18C7" w:rsidRPr="00E77764">
              <w:rPr>
                <w:rFonts w:ascii="Merriweather" w:hAnsi="Merriweather" w:cs="Calibri Light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D18C7" w:rsidRPr="00E77764" w14:paraId="57B0561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1E2BC9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638286B3" w14:textId="77777777" w:rsidR="009D18C7" w:rsidRPr="00E77764" w:rsidRDefault="00000000" w:rsidP="009D18C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9D18C7" w:rsidRPr="00E77764">
              <w:rPr>
                <w:rFonts w:ascii="Merriweather" w:hAnsi="Merriweather" w:cs="Calibri Light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1766236" w14:textId="77777777" w:rsidR="009D18C7" w:rsidRPr="00E77764" w:rsidRDefault="00000000" w:rsidP="009D18C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9D18C7" w:rsidRPr="00E77764">
              <w:rPr>
                <w:rFonts w:ascii="Merriweather" w:hAnsi="Merriweather" w:cs="Calibri Light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5A27BA5" w14:textId="77777777" w:rsidR="009D18C7" w:rsidRPr="00E77764" w:rsidRDefault="00000000" w:rsidP="009D18C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9D18C7" w:rsidRPr="00E77764">
              <w:rPr>
                <w:rFonts w:ascii="Merriweather" w:hAnsi="Merriweather" w:cs="Calibri Light"/>
                <w:sz w:val="16"/>
                <w:szCs w:val="16"/>
                <w:lang w:eastAsia="hr-HR"/>
              </w:rPr>
              <w:t>seminarski</w:t>
            </w:r>
          </w:p>
          <w:p w14:paraId="556E5476" w14:textId="77777777" w:rsidR="009D18C7" w:rsidRPr="00E77764" w:rsidRDefault="009D18C7" w:rsidP="009D18C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4AB25D0" w14:textId="77777777" w:rsidR="009D18C7" w:rsidRPr="00E77764" w:rsidRDefault="00000000" w:rsidP="009D18C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9D18C7" w:rsidRPr="00E77764">
              <w:rPr>
                <w:rFonts w:ascii="Merriweather" w:hAnsi="Merriweather" w:cs="Calibri Light"/>
                <w:sz w:val="16"/>
                <w:szCs w:val="16"/>
                <w:lang w:eastAsia="hr-HR"/>
              </w:rPr>
              <w:t>seminarski</w:t>
            </w:r>
          </w:p>
          <w:p w14:paraId="34D6421A" w14:textId="77777777" w:rsidR="009D18C7" w:rsidRPr="00E77764" w:rsidRDefault="009D18C7" w:rsidP="009D18C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AB2B95D" w14:textId="77777777" w:rsidR="009D18C7" w:rsidRPr="00E77764" w:rsidRDefault="00000000" w:rsidP="009D18C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9D18C7" w:rsidRPr="00E77764">
              <w:rPr>
                <w:rFonts w:ascii="Merriweather" w:hAnsi="Merriweather" w:cs="Calibri Light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57DD710" w14:textId="77777777" w:rsidR="009D18C7" w:rsidRPr="00E77764" w:rsidRDefault="00000000" w:rsidP="009D18C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Calibri Light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="009D18C7" w:rsidRPr="00E77764">
              <w:rPr>
                <w:rFonts w:ascii="Merriweather" w:hAnsi="Merriweather" w:cs="Calibri Light"/>
                <w:sz w:val="16"/>
                <w:szCs w:val="16"/>
                <w:lang w:eastAsia="hr-HR"/>
              </w:rPr>
              <w:t>drugi oblici</w:t>
            </w:r>
          </w:p>
        </w:tc>
      </w:tr>
      <w:tr w:rsidR="009D18C7" w:rsidRPr="00E77764" w14:paraId="52569FD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2E3323B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10AC9AB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Konačn</w:t>
            </w:r>
            <w:r w:rsidR="00E62600" w:rsidRPr="00E77764">
              <w:rPr>
                <w:rFonts w:ascii="Merriweather" w:eastAsia="MS Gothic" w:hAnsi="Merriweather" w:cs="Calibri Light"/>
                <w:sz w:val="16"/>
                <w:szCs w:val="16"/>
              </w:rPr>
              <w:t>u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ocjen</w:t>
            </w:r>
            <w:r w:rsidR="00E62600" w:rsidRPr="00E77764">
              <w:rPr>
                <w:rFonts w:ascii="Merriweather" w:eastAsia="MS Gothic" w:hAnsi="Merriweather" w:cs="Calibri Light"/>
                <w:sz w:val="16"/>
                <w:szCs w:val="16"/>
              </w:rPr>
              <w:t>u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</w:t>
            </w:r>
            <w:r w:rsidR="00E62600" w:rsidRPr="00E77764">
              <w:rPr>
                <w:rFonts w:ascii="Merriweather" w:eastAsia="MS Gothic" w:hAnsi="Merriweather" w:cs="Calibri Light"/>
                <w:sz w:val="16"/>
                <w:szCs w:val="16"/>
              </w:rPr>
              <w:t>čini zbroj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postotnih bodova </w:t>
            </w:r>
            <w:r w:rsidR="00E62600"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ostvarenih na temelju triju 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elemenata: kolokvija/završnog ispita (20 % konačne ocjene), aktivnosti u nastavi (40 % konačne ocjene) i </w:t>
            </w:r>
            <w:r w:rsidR="00E62600"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provođenja 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istraživanja </w:t>
            </w:r>
            <w:r w:rsidR="00E62600"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i prezentiranja rezultata 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(40 % konačne ocjene). </w:t>
            </w:r>
          </w:p>
          <w:p w14:paraId="15E75C7F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Kolokvij ili završni ispit sastoje se od pismenog ispita koji se rješava putem računala. Aktivnost u nastavi podrazumijeva sudjelovanje u raspravama tijekom semestra i pravovremeno slanje domaćih zadataka. </w:t>
            </w:r>
            <w:r w:rsidR="00E62600" w:rsidRPr="00E77764">
              <w:rPr>
                <w:rFonts w:ascii="Merriweather" w:eastAsia="MS Gothic" w:hAnsi="Merriweather" w:cs="Calibri Light"/>
                <w:sz w:val="16"/>
                <w:szCs w:val="16"/>
              </w:rPr>
              <w:t>Provođenje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istraživanj</w:t>
            </w:r>
            <w:r w:rsidR="00E62600" w:rsidRPr="00E77764">
              <w:rPr>
                <w:rFonts w:ascii="Merriweather" w:eastAsia="MS Gothic" w:hAnsi="Merriweather" w:cs="Calibri Light"/>
                <w:sz w:val="16"/>
                <w:szCs w:val="16"/>
              </w:rPr>
              <w:t>a i prezentiranje rezultata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</w:t>
            </w:r>
            <w:r w:rsidR="00E62600"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podrazumijeva provođenje vlastitog istraživanja korištenjem metoda usvojenih u sklopu </w:t>
            </w:r>
            <w:r w:rsidR="00AD1299" w:rsidRPr="00E77764">
              <w:rPr>
                <w:rFonts w:ascii="Merriweather" w:eastAsia="MS Gothic" w:hAnsi="Merriweather" w:cs="Calibri Light"/>
                <w:sz w:val="16"/>
                <w:szCs w:val="16"/>
              </w:rPr>
              <w:t>kolegija</w:t>
            </w:r>
            <w:r w:rsidR="00E62600"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, pisanje seminarskog rada na temelju provedenog istraživanja i </w:t>
            </w:r>
            <w:r w:rsidR="00BC2DD3" w:rsidRPr="00E77764">
              <w:rPr>
                <w:rFonts w:ascii="Merriweather" w:eastAsia="MS Gothic" w:hAnsi="Merriweather" w:cs="Calibri Light"/>
                <w:sz w:val="16"/>
                <w:szCs w:val="16"/>
              </w:rPr>
              <w:t>prezentiranje rezultata. Provođenje istraživanja</w:t>
            </w:r>
            <w:r w:rsidR="00AD1299"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i prezentiranje rezultata</w:t>
            </w:r>
            <w:r w:rsidR="00BC2DD3"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ocjenjuje se na temelju pridržavanja formalnih uvjeta za pisanje rada</w:t>
            </w:r>
            <w:r w:rsidR="00BC2DD3"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(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10 % ocjene), ispravnog korištenja metoda za prikupljanje i analizu podataka i kontinuiranog rada na istraživanju (25 % ocjene) te prezentiranja</w:t>
            </w:r>
            <w:r w:rsidR="00BC2DD3"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rezultata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</w:t>
            </w:r>
            <w:r w:rsidR="00EC28E9" w:rsidRPr="00E77764">
              <w:rPr>
                <w:rFonts w:ascii="Merriweather" w:eastAsia="MS Gothic" w:hAnsi="Merriweather" w:cs="Calibri Light"/>
                <w:sz w:val="16"/>
                <w:szCs w:val="16"/>
              </w:rPr>
              <w:t>provedenog istraživanja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(5 % ocjene). </w:t>
            </w:r>
          </w:p>
          <w:p w14:paraId="67D43087" w14:textId="77777777" w:rsidR="009D18C7" w:rsidRPr="00E77764" w:rsidRDefault="009D18C7" w:rsidP="00AD129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Istraživanje i seminarski rad napisan na temelju istraživanja moraju biti poslani do kraja posljednjeg dana nastave u semestru. Seminarski radovi koji budu poslani nakon roka neće se ocjenjivati. Seminarski radovi koji budu poslani na vrijeme mogu se </w:t>
            </w:r>
            <w:r w:rsidR="00BC2DD3"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doraditi na temelju komentara radi ostvarivanja više ocjene 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za vrijeme trajanja ispitnih rokova</w:t>
            </w:r>
            <w:r w:rsidR="00BC2DD3" w:rsidRPr="00E77764">
              <w:rPr>
                <w:rFonts w:ascii="Merriweather" w:eastAsia="MS Gothic" w:hAnsi="Merriweather" w:cs="Calibri Light"/>
                <w:sz w:val="16"/>
                <w:szCs w:val="16"/>
              </w:rPr>
              <w:t>.</w:t>
            </w:r>
          </w:p>
        </w:tc>
      </w:tr>
      <w:tr w:rsidR="009D18C7" w:rsidRPr="00E77764" w14:paraId="76325275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603E0551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465EDFF3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&lt;60%</w:t>
            </w:r>
          </w:p>
        </w:tc>
        <w:tc>
          <w:tcPr>
            <w:tcW w:w="6061" w:type="dxa"/>
            <w:gridSpan w:val="27"/>
            <w:vAlign w:val="center"/>
          </w:tcPr>
          <w:p w14:paraId="40C239DB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% nedovoljan (1)</w:t>
            </w:r>
          </w:p>
        </w:tc>
      </w:tr>
      <w:tr w:rsidR="009D18C7" w:rsidRPr="00E77764" w14:paraId="6321915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9252C9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F7E9B4C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60-69,99%</w:t>
            </w:r>
          </w:p>
        </w:tc>
        <w:tc>
          <w:tcPr>
            <w:tcW w:w="6061" w:type="dxa"/>
            <w:gridSpan w:val="27"/>
            <w:vAlign w:val="center"/>
          </w:tcPr>
          <w:p w14:paraId="571887E0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% dovoljan (2)</w:t>
            </w:r>
          </w:p>
        </w:tc>
      </w:tr>
      <w:tr w:rsidR="009D18C7" w:rsidRPr="00E77764" w14:paraId="6F067E2D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9D17ED7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FBB57B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70-79,99%</w:t>
            </w:r>
          </w:p>
        </w:tc>
        <w:tc>
          <w:tcPr>
            <w:tcW w:w="6061" w:type="dxa"/>
            <w:gridSpan w:val="27"/>
            <w:vAlign w:val="center"/>
          </w:tcPr>
          <w:p w14:paraId="176DEC14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% dobar (3)</w:t>
            </w:r>
          </w:p>
        </w:tc>
      </w:tr>
      <w:tr w:rsidR="009D18C7" w:rsidRPr="00E77764" w14:paraId="375077D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723660D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40EFB87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80-89,99%</w:t>
            </w:r>
          </w:p>
        </w:tc>
        <w:tc>
          <w:tcPr>
            <w:tcW w:w="6061" w:type="dxa"/>
            <w:gridSpan w:val="27"/>
            <w:vAlign w:val="center"/>
          </w:tcPr>
          <w:p w14:paraId="5DD45F14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% vrlo dobar (4)</w:t>
            </w:r>
          </w:p>
        </w:tc>
      </w:tr>
      <w:tr w:rsidR="009D18C7" w:rsidRPr="00E77764" w14:paraId="4B55A44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511D9A2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D6D89F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&gt;90%</w:t>
            </w:r>
          </w:p>
        </w:tc>
        <w:tc>
          <w:tcPr>
            <w:tcW w:w="6061" w:type="dxa"/>
            <w:gridSpan w:val="27"/>
            <w:vAlign w:val="center"/>
          </w:tcPr>
          <w:p w14:paraId="25410B27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sz w:val="16"/>
                <w:szCs w:val="16"/>
              </w:rPr>
              <w:t>% izvrstan (5)</w:t>
            </w:r>
          </w:p>
        </w:tc>
      </w:tr>
      <w:tr w:rsidR="009D18C7" w:rsidRPr="00E77764" w14:paraId="742E7BA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F8BC163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1F86B009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studentska evaluacija nastave na razini Sveučilišta </w:t>
            </w:r>
          </w:p>
          <w:p w14:paraId="0D1BFE2C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studentska evaluacija nastave na razini sastavnice</w:t>
            </w:r>
          </w:p>
          <w:p w14:paraId="05F29A9B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4DB0" w:rsidRPr="00E77764">
                  <w:rPr>
                    <w:rFonts w:ascii="MS Gothic" w:eastAsia="MS Gothic" w:hAnsi="MS Gothic" w:cs="Calibri Light" w:hint="eastAsia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interna evaluacija nastave </w:t>
            </w:r>
          </w:p>
          <w:p w14:paraId="4721DDC3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7945572E" w14:textId="77777777" w:rsidR="009D18C7" w:rsidRPr="00E77764" w:rsidRDefault="00000000" w:rsidP="009D18C7">
            <w:pPr>
              <w:tabs>
                <w:tab w:val="left" w:pos="1218"/>
              </w:tabs>
              <w:spacing w:before="20" w:after="20"/>
              <w:rPr>
                <w:rFonts w:ascii="Merriweather" w:hAnsi="Merriweather" w:cs="Calibri Light"/>
                <w:sz w:val="16"/>
                <w:szCs w:val="16"/>
              </w:rPr>
            </w:pPr>
            <w:sdt>
              <w:sdtPr>
                <w:rPr>
                  <w:rFonts w:ascii="Merriweather" w:hAnsi="Merriweather" w:cs="Calibri Light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8C7" w:rsidRPr="00E7776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D18C7" w:rsidRPr="00E77764">
              <w:rPr>
                <w:rFonts w:ascii="Merriweather" w:hAnsi="Merriweather" w:cs="Calibri Light"/>
                <w:sz w:val="16"/>
                <w:szCs w:val="16"/>
              </w:rPr>
              <w:t xml:space="preserve"> ostalo</w:t>
            </w:r>
          </w:p>
        </w:tc>
      </w:tr>
      <w:tr w:rsidR="009D18C7" w:rsidRPr="00E77764" w14:paraId="750B752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64A2D34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Napomena / </w:t>
            </w:r>
          </w:p>
          <w:p w14:paraId="56B4E9A6" w14:textId="77777777" w:rsidR="009D18C7" w:rsidRPr="00E77764" w:rsidRDefault="009D18C7" w:rsidP="009D18C7">
            <w:pPr>
              <w:spacing w:before="20" w:after="20"/>
              <w:rPr>
                <w:rFonts w:ascii="Merriweather" w:hAnsi="Merriweather" w:cs="Calibri Light"/>
                <w:b/>
                <w:sz w:val="16"/>
                <w:szCs w:val="16"/>
              </w:rPr>
            </w:pPr>
            <w:r w:rsidRPr="00E77764">
              <w:rPr>
                <w:rFonts w:ascii="Merriweather" w:hAnsi="Merriweather" w:cs="Calibri Light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5746343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Sukladno čl. 6. </w:t>
            </w:r>
            <w:r w:rsidRPr="00E77764">
              <w:rPr>
                <w:rFonts w:ascii="Merriweather" w:eastAsia="MS Gothic" w:hAnsi="Merriweather" w:cs="Calibri Light"/>
                <w:i/>
                <w:sz w:val="16"/>
                <w:szCs w:val="16"/>
              </w:rPr>
              <w:t>Etičkog kodeksa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D10F901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Prema čl. 14. </w:t>
            </w:r>
            <w:r w:rsidRPr="00E77764">
              <w:rPr>
                <w:rFonts w:ascii="Merriweather" w:eastAsia="MS Gothic" w:hAnsi="Merriweather" w:cs="Calibri Light"/>
                <w:i/>
                <w:sz w:val="16"/>
                <w:szCs w:val="16"/>
              </w:rPr>
              <w:t>Etičkog kodeksa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E77764">
              <w:rPr>
                <w:rFonts w:ascii="Merriweather" w:hAnsi="Merriweather" w:cs="Calibri Light"/>
                <w:sz w:val="16"/>
                <w:szCs w:val="16"/>
              </w:rPr>
              <w:t xml:space="preserve"> </w:t>
            </w: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[…] </w:t>
            </w:r>
          </w:p>
          <w:p w14:paraId="5F2D51FC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68AF1A58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0928E18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161E651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E77764">
                <w:rPr>
                  <w:rStyle w:val="Hyperlink"/>
                  <w:rFonts w:ascii="Merriweather" w:eastAsia="MS Gothic" w:hAnsi="Merriweather" w:cs="Calibri Light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.</w:t>
            </w:r>
          </w:p>
          <w:p w14:paraId="13CD82BA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</w:p>
          <w:p w14:paraId="4E1CD01E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268F1BB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</w:p>
          <w:p w14:paraId="4F0E5CD0" w14:textId="77777777" w:rsidR="009D18C7" w:rsidRPr="00E77764" w:rsidRDefault="009D18C7" w:rsidP="009D18C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Calibri Light"/>
                <w:sz w:val="16"/>
                <w:szCs w:val="16"/>
              </w:rPr>
            </w:pPr>
            <w:r w:rsidRPr="00E77764">
              <w:rPr>
                <w:rFonts w:ascii="Merriweather" w:eastAsia="MS Gothic" w:hAnsi="Merriweather" w:cs="Calibri Light"/>
                <w:sz w:val="16"/>
                <w:szCs w:val="16"/>
              </w:rPr>
              <w:t xml:space="preserve">U kolegiju se koristi Merlin, sustav za e-učenje, pa su studentima/cama potrebni AAI računi. </w:t>
            </w:r>
          </w:p>
        </w:tc>
      </w:tr>
    </w:tbl>
    <w:p w14:paraId="539A079F" w14:textId="77777777" w:rsidR="00794496" w:rsidRPr="006735C3" w:rsidRDefault="00794496">
      <w:pPr>
        <w:rPr>
          <w:rFonts w:ascii="Merriweather" w:hAnsi="Merriweather" w:cs="Calibri Light"/>
          <w:sz w:val="18"/>
          <w:szCs w:val="18"/>
        </w:rPr>
      </w:pPr>
    </w:p>
    <w:sectPr w:rsidR="00794496" w:rsidRPr="006735C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F0CEF" w14:textId="77777777" w:rsidR="0020714D" w:rsidRDefault="0020714D" w:rsidP="009947BA">
      <w:pPr>
        <w:spacing w:before="0" w:after="0"/>
      </w:pPr>
      <w:r>
        <w:separator/>
      </w:r>
    </w:p>
  </w:endnote>
  <w:endnote w:type="continuationSeparator" w:id="0">
    <w:p w14:paraId="67ECE100" w14:textId="77777777" w:rsidR="0020714D" w:rsidRDefault="0020714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61CCB" w14:textId="77777777" w:rsidR="0020714D" w:rsidRDefault="0020714D" w:rsidP="009947BA">
      <w:pPr>
        <w:spacing w:before="0" w:after="0"/>
      </w:pPr>
      <w:r>
        <w:separator/>
      </w:r>
    </w:p>
  </w:footnote>
  <w:footnote w:type="continuationSeparator" w:id="0">
    <w:p w14:paraId="6421EA59" w14:textId="77777777" w:rsidR="0020714D" w:rsidRDefault="0020714D" w:rsidP="009947BA">
      <w:pPr>
        <w:spacing w:before="0" w:after="0"/>
      </w:pPr>
      <w:r>
        <w:continuationSeparator/>
      </w:r>
    </w:p>
  </w:footnote>
  <w:footnote w:id="1">
    <w:p w14:paraId="0C11E88F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F3F3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FF6CA" wp14:editId="539B68D7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0FE8F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05168CD" wp14:editId="2E2E6600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AFF6CA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2F0FE8F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05168CD" wp14:editId="2E2E6600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A59D529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353631B" w14:textId="77777777" w:rsidR="0079745E" w:rsidRDefault="0079745E" w:rsidP="0079745E">
    <w:pPr>
      <w:pStyle w:val="Header"/>
    </w:pPr>
  </w:p>
  <w:p w14:paraId="510DDB26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2F3"/>
    <w:multiLevelType w:val="hybridMultilevel"/>
    <w:tmpl w:val="531A5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4FB7"/>
    <w:multiLevelType w:val="hybridMultilevel"/>
    <w:tmpl w:val="CB12E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2917"/>
    <w:multiLevelType w:val="hybridMultilevel"/>
    <w:tmpl w:val="26DC29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E5E6E"/>
    <w:multiLevelType w:val="hybridMultilevel"/>
    <w:tmpl w:val="E0AA60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5779D7"/>
    <w:multiLevelType w:val="hybridMultilevel"/>
    <w:tmpl w:val="DE38BF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C87A9B"/>
    <w:multiLevelType w:val="hybridMultilevel"/>
    <w:tmpl w:val="9B905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646CC"/>
    <w:multiLevelType w:val="hybridMultilevel"/>
    <w:tmpl w:val="A94097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4225391">
    <w:abstractNumId w:val="5"/>
  </w:num>
  <w:num w:numId="2" w16cid:durableId="265233865">
    <w:abstractNumId w:val="1"/>
  </w:num>
  <w:num w:numId="3" w16cid:durableId="690035972">
    <w:abstractNumId w:val="3"/>
  </w:num>
  <w:num w:numId="4" w16cid:durableId="816460074">
    <w:abstractNumId w:val="0"/>
  </w:num>
  <w:num w:numId="5" w16cid:durableId="1514564583">
    <w:abstractNumId w:val="2"/>
  </w:num>
  <w:num w:numId="6" w16cid:durableId="1697846756">
    <w:abstractNumId w:val="6"/>
  </w:num>
  <w:num w:numId="7" w16cid:durableId="39131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55B60"/>
    <w:rsid w:val="00087447"/>
    <w:rsid w:val="000C0578"/>
    <w:rsid w:val="000C2673"/>
    <w:rsid w:val="000F4C8B"/>
    <w:rsid w:val="0010332B"/>
    <w:rsid w:val="0014300C"/>
    <w:rsid w:val="001443A2"/>
    <w:rsid w:val="00150B32"/>
    <w:rsid w:val="00187C4F"/>
    <w:rsid w:val="00197510"/>
    <w:rsid w:val="001C7C51"/>
    <w:rsid w:val="001D1F37"/>
    <w:rsid w:val="00206584"/>
    <w:rsid w:val="0020714D"/>
    <w:rsid w:val="00226462"/>
    <w:rsid w:val="0022722C"/>
    <w:rsid w:val="0028545A"/>
    <w:rsid w:val="002E1CE6"/>
    <w:rsid w:val="002F2D22"/>
    <w:rsid w:val="00310F9A"/>
    <w:rsid w:val="00326091"/>
    <w:rsid w:val="00357643"/>
    <w:rsid w:val="00366132"/>
    <w:rsid w:val="00371634"/>
    <w:rsid w:val="00386E9C"/>
    <w:rsid w:val="00393964"/>
    <w:rsid w:val="003A58FF"/>
    <w:rsid w:val="003F11B6"/>
    <w:rsid w:val="003F17B8"/>
    <w:rsid w:val="00453362"/>
    <w:rsid w:val="00461219"/>
    <w:rsid w:val="00470F6D"/>
    <w:rsid w:val="00483BC3"/>
    <w:rsid w:val="004B1B3D"/>
    <w:rsid w:val="004B2ED5"/>
    <w:rsid w:val="004B553E"/>
    <w:rsid w:val="00507C65"/>
    <w:rsid w:val="00527C5F"/>
    <w:rsid w:val="005353ED"/>
    <w:rsid w:val="005514C3"/>
    <w:rsid w:val="00571806"/>
    <w:rsid w:val="00581FB9"/>
    <w:rsid w:val="005972F4"/>
    <w:rsid w:val="005E1668"/>
    <w:rsid w:val="005E1B9A"/>
    <w:rsid w:val="005E5F80"/>
    <w:rsid w:val="005F6E0B"/>
    <w:rsid w:val="0062328F"/>
    <w:rsid w:val="006461AB"/>
    <w:rsid w:val="00672476"/>
    <w:rsid w:val="006735C3"/>
    <w:rsid w:val="00684BBC"/>
    <w:rsid w:val="00694666"/>
    <w:rsid w:val="006B4920"/>
    <w:rsid w:val="006C369C"/>
    <w:rsid w:val="006D770D"/>
    <w:rsid w:val="00700D7A"/>
    <w:rsid w:val="00721260"/>
    <w:rsid w:val="007361E7"/>
    <w:rsid w:val="007368EB"/>
    <w:rsid w:val="00772F82"/>
    <w:rsid w:val="0078125F"/>
    <w:rsid w:val="00794496"/>
    <w:rsid w:val="007967CC"/>
    <w:rsid w:val="0079745E"/>
    <w:rsid w:val="00797B40"/>
    <w:rsid w:val="007C43A4"/>
    <w:rsid w:val="007D4D2D"/>
    <w:rsid w:val="008637C2"/>
    <w:rsid w:val="00865776"/>
    <w:rsid w:val="00874D5D"/>
    <w:rsid w:val="00891C60"/>
    <w:rsid w:val="008942F0"/>
    <w:rsid w:val="008D45DB"/>
    <w:rsid w:val="0090214F"/>
    <w:rsid w:val="00903D8D"/>
    <w:rsid w:val="00904611"/>
    <w:rsid w:val="009163E6"/>
    <w:rsid w:val="009760E8"/>
    <w:rsid w:val="009947BA"/>
    <w:rsid w:val="00997F41"/>
    <w:rsid w:val="009A3A9D"/>
    <w:rsid w:val="009B3A32"/>
    <w:rsid w:val="009C0447"/>
    <w:rsid w:val="009C56B1"/>
    <w:rsid w:val="009D18C7"/>
    <w:rsid w:val="009D5226"/>
    <w:rsid w:val="009E2FD4"/>
    <w:rsid w:val="00A06750"/>
    <w:rsid w:val="00A9132B"/>
    <w:rsid w:val="00AA1A5A"/>
    <w:rsid w:val="00AD1299"/>
    <w:rsid w:val="00AD23FB"/>
    <w:rsid w:val="00AF4BFF"/>
    <w:rsid w:val="00B41026"/>
    <w:rsid w:val="00B41C1A"/>
    <w:rsid w:val="00B71A57"/>
    <w:rsid w:val="00B7307A"/>
    <w:rsid w:val="00BC2DD3"/>
    <w:rsid w:val="00BD70A6"/>
    <w:rsid w:val="00BF1090"/>
    <w:rsid w:val="00C02454"/>
    <w:rsid w:val="00C3477B"/>
    <w:rsid w:val="00C4626B"/>
    <w:rsid w:val="00C85956"/>
    <w:rsid w:val="00C9733D"/>
    <w:rsid w:val="00CA3783"/>
    <w:rsid w:val="00CA527C"/>
    <w:rsid w:val="00CB23F4"/>
    <w:rsid w:val="00D136E4"/>
    <w:rsid w:val="00D24BBD"/>
    <w:rsid w:val="00D5334D"/>
    <w:rsid w:val="00D5523D"/>
    <w:rsid w:val="00D66608"/>
    <w:rsid w:val="00D944DF"/>
    <w:rsid w:val="00DD110C"/>
    <w:rsid w:val="00DE6D53"/>
    <w:rsid w:val="00E03818"/>
    <w:rsid w:val="00E06E39"/>
    <w:rsid w:val="00E07D73"/>
    <w:rsid w:val="00E165A5"/>
    <w:rsid w:val="00E17D18"/>
    <w:rsid w:val="00E30E67"/>
    <w:rsid w:val="00E35764"/>
    <w:rsid w:val="00E62600"/>
    <w:rsid w:val="00E77764"/>
    <w:rsid w:val="00EB5A72"/>
    <w:rsid w:val="00EC28E9"/>
    <w:rsid w:val="00EE3457"/>
    <w:rsid w:val="00F02A8F"/>
    <w:rsid w:val="00F22855"/>
    <w:rsid w:val="00F513E0"/>
    <w:rsid w:val="00F566DA"/>
    <w:rsid w:val="00F64DB0"/>
    <w:rsid w:val="00F82834"/>
    <w:rsid w:val="00F84F5E"/>
    <w:rsid w:val="00FA68DD"/>
    <w:rsid w:val="00FB0423"/>
    <w:rsid w:val="00FB4B4A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F0CA0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4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istika.unizd.hr/ispitni-rokov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nglistika.unizd.hr/ispitni-rokov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glistika.unizd.hr/ispitni-rokov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BB28-C177-4B32-9B9A-1637B189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4</cp:revision>
  <cp:lastPrinted>2021-02-12T11:27:00Z</cp:lastPrinted>
  <dcterms:created xsi:type="dcterms:W3CDTF">2024-08-30T16:21:00Z</dcterms:created>
  <dcterms:modified xsi:type="dcterms:W3CDTF">2024-09-26T15:02:00Z</dcterms:modified>
</cp:coreProperties>
</file>